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AF9B" w14:textId="77777777" w:rsidR="00B955B4" w:rsidRDefault="00B955B4" w:rsidP="00CD69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77AC818E" w14:textId="1759B576" w:rsidR="00C13DAA" w:rsidRDefault="00B955B4" w:rsidP="00B95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B955B4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Региональная инициатива</w:t>
      </w:r>
    </w:p>
    <w:p w14:paraId="679335C6" w14:textId="1582D8D4" w:rsidR="00B955B4" w:rsidRDefault="00B955B4" w:rsidP="00B95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78781AAB" w14:textId="1E303885" w:rsidR="00E739B0" w:rsidRPr="00E739B0" w:rsidRDefault="00E739B0" w:rsidP="00E73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39B0">
        <w:rPr>
          <w:rFonts w:ascii="Times New Roman" w:hAnsi="Times New Roman" w:cs="Times New Roman"/>
          <w:sz w:val="30"/>
          <w:szCs w:val="30"/>
        </w:rPr>
        <w:t xml:space="preserve">В 2025 году внедрен новый механизм поддержки инвестиционных проектов </w:t>
      </w:r>
      <w:r w:rsidR="007572FD">
        <w:rPr>
          <w:rFonts w:ascii="Times New Roman" w:hAnsi="Times New Roman" w:cs="Times New Roman"/>
          <w:sz w:val="30"/>
          <w:szCs w:val="30"/>
        </w:rPr>
        <w:t xml:space="preserve">- </w:t>
      </w:r>
      <w:r w:rsidRPr="00E739B0">
        <w:rPr>
          <w:rFonts w:ascii="Times New Roman" w:hAnsi="Times New Roman" w:cs="Times New Roman"/>
          <w:sz w:val="30"/>
          <w:szCs w:val="30"/>
        </w:rPr>
        <w:t>«Региональная инициатива». Для сбора и обработки заявок организаций и последующего формирования перечня инвестиционных проектов «Региональная инициатива» Белорусский фонд финансовой поддержки предпринимателей создал онлайн-площадку «региональная-</w:t>
      </w:r>
      <w:proofErr w:type="spellStart"/>
      <w:proofErr w:type="gramStart"/>
      <w:r w:rsidRPr="00E739B0">
        <w:rPr>
          <w:rFonts w:ascii="Times New Roman" w:hAnsi="Times New Roman" w:cs="Times New Roman"/>
          <w:sz w:val="30"/>
          <w:szCs w:val="30"/>
        </w:rPr>
        <w:t>инициатива.бел</w:t>
      </w:r>
      <w:proofErr w:type="spellEnd"/>
      <w:proofErr w:type="gramEnd"/>
      <w:r w:rsidRPr="00E739B0">
        <w:rPr>
          <w:rFonts w:ascii="Times New Roman" w:hAnsi="Times New Roman" w:cs="Times New Roman"/>
          <w:sz w:val="30"/>
          <w:szCs w:val="30"/>
        </w:rPr>
        <w:t>».</w:t>
      </w:r>
    </w:p>
    <w:p w14:paraId="17F15A92" w14:textId="39B0EB67" w:rsidR="00E739B0" w:rsidRPr="00E739B0" w:rsidRDefault="00E739B0" w:rsidP="00E73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39B0">
        <w:rPr>
          <w:rFonts w:ascii="Times New Roman" w:hAnsi="Times New Roman" w:cs="Times New Roman"/>
          <w:sz w:val="30"/>
          <w:szCs w:val="30"/>
        </w:rPr>
        <w:t>Предусматривается, что в данный перечень могут быть включены только бизнес-идеи субъектов малого и среднего предпринимательства.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739B0">
        <w:rPr>
          <w:rFonts w:ascii="Times New Roman" w:hAnsi="Times New Roman" w:cs="Times New Roman"/>
          <w:sz w:val="30"/>
          <w:szCs w:val="30"/>
        </w:rPr>
        <w:t>Инвестиционные проекты, включенные в перечень «Региональная инициатива», могут претендовать на получение кредитных ресурсов на особых условиях.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739B0">
        <w:rPr>
          <w:rFonts w:ascii="Times New Roman" w:hAnsi="Times New Roman" w:cs="Times New Roman"/>
          <w:sz w:val="30"/>
          <w:szCs w:val="30"/>
        </w:rPr>
        <w:t xml:space="preserve">Инструментом финансирования выступит кредитный продукт «Инвестиционное развитие», которое предоставляют ОАО «Банк развития Республики Беларусь», ОАО «АСБ Беларусбанк», ОАО «Банк </w:t>
      </w:r>
      <w:proofErr w:type="spellStart"/>
      <w:r w:rsidRPr="00E739B0">
        <w:rPr>
          <w:rFonts w:ascii="Times New Roman" w:hAnsi="Times New Roman" w:cs="Times New Roman"/>
          <w:sz w:val="30"/>
          <w:szCs w:val="30"/>
        </w:rPr>
        <w:t>Дабрабыт</w:t>
      </w:r>
      <w:proofErr w:type="spellEnd"/>
      <w:r w:rsidRPr="00E739B0">
        <w:rPr>
          <w:rFonts w:ascii="Times New Roman" w:hAnsi="Times New Roman" w:cs="Times New Roman"/>
          <w:sz w:val="30"/>
          <w:szCs w:val="30"/>
        </w:rPr>
        <w:t>», ОАО «Белорусский банк развития и реконструкции «</w:t>
      </w:r>
      <w:proofErr w:type="spellStart"/>
      <w:r w:rsidRPr="00E739B0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Pr="00E739B0"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 w:rsidRPr="00E739B0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Pr="00E739B0">
        <w:rPr>
          <w:rFonts w:ascii="Times New Roman" w:hAnsi="Times New Roman" w:cs="Times New Roman"/>
          <w:sz w:val="30"/>
          <w:szCs w:val="30"/>
        </w:rPr>
        <w:t>».</w:t>
      </w:r>
    </w:p>
    <w:p w14:paraId="19F995B4" w14:textId="452B1C75" w:rsidR="006D1DB2" w:rsidRDefault="00047464" w:rsidP="00E739B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Формирование перечня «Региональная инициатива» осуществляется</w:t>
      </w:r>
      <w:r w:rsidR="00E739B0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на основании заявок организаций на</w:t>
      </w:r>
      <w:r w:rsidR="00E739B0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включение в перечень «Региональная инициатива»,</w:t>
      </w:r>
      <w:r w:rsidR="00E739B0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подаваемых на онлайн-площадке Белорусского фонда финансовой поддержки</w:t>
      </w:r>
      <w:r w:rsidR="00E739B0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предпринимателей в виде скан-копии</w:t>
      </w:r>
      <w:r w:rsidR="006D1DB2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3FC2F6B1" w14:textId="3A8E5DB1" w:rsidR="006D1DB2" w:rsidRDefault="00047464" w:rsidP="00E739B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Для включения в перечень «Региональная инициатива»</w:t>
      </w:r>
      <w:r w:rsidR="00E739B0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инвестиционный проект должен обеспечивать выполнение следующих условий: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</w:r>
      <w:r w:rsidR="006D1DB2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      - </w:t>
      </w:r>
      <w:r w:rsidR="006D1DB2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ab/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организация-заявитель является субъектом малого и среднего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предпринимательства (внесена в Реестр субъектов малого и среднего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предпринимательства Республики Беларусь) на дату подачи заявки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организации на онлайн-площадке БФФПП;</w:t>
      </w:r>
    </w:p>
    <w:p w14:paraId="260A4D7E" w14:textId="2C8AD7F8" w:rsidR="00047464" w:rsidRPr="00047464" w:rsidRDefault="006D1DB2" w:rsidP="006D1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-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проект должен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реализовываться на территории регионов, за исключением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областных центров и г. Минска, а также прилегающих к ним районов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;</w:t>
      </w:r>
    </w:p>
    <w:p w14:paraId="3373E13B" w14:textId="77777777" w:rsidR="006D1DB2" w:rsidRDefault="006D1DB2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обеспечивать создание новых производств (цехов) или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модернизацию (техническое перевооружение, расширение)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существующих производств, или создание коммерческих объектов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транспортно-логистической инфраструктуры, туризма и отдыха,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медицинского обслуживания, а также реализацию комплексных проектов,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включающих создание объектов производственного назначения и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общественного питания (создание новых производств (цехов) продуктов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питания, в дальнейшем используемых в объектах общественного питания, и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самих объектов общественного питания);</w:t>
      </w:r>
    </w:p>
    <w:p w14:paraId="7226A121" w14:textId="77777777" w:rsidR="006D1DB2" w:rsidRDefault="006D1DB2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lastRenderedPageBreak/>
        <w:t xml:space="preserve">-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обеспечивать создание не менее 5 новых рабочих мест или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трудоустройство дополнительно не менее 5 человек на существующие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рабочие места для новых производств (цехов);</w:t>
      </w:r>
    </w:p>
    <w:p w14:paraId="04365280" w14:textId="77777777" w:rsidR="006D1DB2" w:rsidRDefault="006D1DB2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- 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быть значимым для социально-экономического развития региона</w:t>
      </w:r>
      <w:r w:rsidR="00047464"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(области, района) с учетом отраслевых особенностей.</w:t>
      </w:r>
    </w:p>
    <w:p w14:paraId="65C0C02B" w14:textId="77777777" w:rsidR="006D1DB2" w:rsidRDefault="00047464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Кредитные ресурсы могут предоставляться банками и Банком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развития для реализации эффективных и финансово реализуемых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инвестиционных проектов, включенных в перечень «Региональная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инициатива», на следующих условиях:</w:t>
      </w:r>
      <w:r w:rsidR="006D1DB2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</w:p>
    <w:p w14:paraId="64ED70B0" w14:textId="0408EEE0" w:rsidR="006D1DB2" w:rsidRDefault="00047464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валюта кредита – белорусский рубль;</w:t>
      </w:r>
    </w:p>
    <w:p w14:paraId="08C37042" w14:textId="77777777" w:rsidR="006D1DB2" w:rsidRDefault="00047464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кредитный договор заключается на срок окупаемости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инвестиционного проекта, но не более 15 лет;</w:t>
      </w:r>
    </w:p>
    <w:p w14:paraId="1D2AB2E4" w14:textId="0EBC29F9" w:rsidR="00C13DAA" w:rsidRDefault="00047464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процентная ставка: не более 8 процентов годовых, для аграрных</w:t>
      </w:r>
      <w:r w:rsidRPr="00047464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br/>
        <w:t>районов – не более 6,5 процентов годовых</w:t>
      </w:r>
      <w:r w:rsidR="007572FD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63A2FFA2" w14:textId="7F35E34F" w:rsidR="00A7262D" w:rsidRDefault="00A7262D" w:rsidP="006D1DB2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</w:p>
    <w:p w14:paraId="515E3865" w14:textId="77777777" w:rsidR="00A7262D" w:rsidRPr="00B955B4" w:rsidRDefault="00A7262D" w:rsidP="006D1D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bookmarkStart w:id="0" w:name="_GoBack"/>
      <w:bookmarkEnd w:id="0"/>
    </w:p>
    <w:sectPr w:rsidR="00A7262D" w:rsidRPr="00B9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B1"/>
    <w:rsid w:val="00042F8E"/>
    <w:rsid w:val="00047464"/>
    <w:rsid w:val="00135A22"/>
    <w:rsid w:val="001E1C9B"/>
    <w:rsid w:val="002E6C62"/>
    <w:rsid w:val="00495BE7"/>
    <w:rsid w:val="005319B6"/>
    <w:rsid w:val="006B5C32"/>
    <w:rsid w:val="006D1DB2"/>
    <w:rsid w:val="00733510"/>
    <w:rsid w:val="007572FD"/>
    <w:rsid w:val="007954C1"/>
    <w:rsid w:val="007A4B47"/>
    <w:rsid w:val="00842102"/>
    <w:rsid w:val="009143CA"/>
    <w:rsid w:val="00A110B8"/>
    <w:rsid w:val="00A511A8"/>
    <w:rsid w:val="00A7262D"/>
    <w:rsid w:val="00B955B4"/>
    <w:rsid w:val="00B967B1"/>
    <w:rsid w:val="00C13DAA"/>
    <w:rsid w:val="00C3091D"/>
    <w:rsid w:val="00CD3FB0"/>
    <w:rsid w:val="00CD6989"/>
    <w:rsid w:val="00D40319"/>
    <w:rsid w:val="00DC6EC9"/>
    <w:rsid w:val="00E215AA"/>
    <w:rsid w:val="00E739B0"/>
    <w:rsid w:val="00F91C86"/>
    <w:rsid w:val="00FA71D6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EE32"/>
  <w15:chartTrackingRefBased/>
  <w15:docId w15:val="{10086FE1-A0AB-4507-8543-9512AD35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SlonimRIK22.11.23</dc:creator>
  <cp:keywords/>
  <dc:description/>
  <cp:lastModifiedBy>SlonimRIK22.11.23</cp:lastModifiedBy>
  <cp:revision>20</cp:revision>
  <cp:lastPrinted>2025-03-27T12:34:00Z</cp:lastPrinted>
  <dcterms:created xsi:type="dcterms:W3CDTF">2025-03-25T09:09:00Z</dcterms:created>
  <dcterms:modified xsi:type="dcterms:W3CDTF">2025-08-28T11:35:00Z</dcterms:modified>
</cp:coreProperties>
</file>