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7B" w:rsidRPr="00607929" w:rsidRDefault="00C33D7B" w:rsidP="00C33D7B">
      <w:pPr>
        <w:spacing w:before="100" w:beforeAutospacing="1" w:after="100" w:afterAutospacing="1"/>
        <w:jc w:val="center"/>
        <w:outlineLvl w:val="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79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График выплаты пенсий (пособий), назначенных органами по труду, занятости и социальной защите Гродненской области, путем зачисления на счета получателей через учреждения банков в 202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60792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году</w:t>
      </w:r>
    </w:p>
    <w:p w:rsidR="0090084E" w:rsidRPr="0090084E" w:rsidRDefault="00F228E5" w:rsidP="000E0E5E">
      <w:pPr>
        <w:pStyle w:val="has-text-align-cente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С</w:t>
      </w:r>
      <w:r w:rsidRPr="0090084E">
        <w:rPr>
          <w:rStyle w:val="a3"/>
          <w:sz w:val="28"/>
          <w:szCs w:val="28"/>
        </w:rPr>
        <w:t xml:space="preserve"> 1 июля 2024 г.</w:t>
      </w:r>
      <w:r w:rsidRPr="0090084E"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изменен </w:t>
      </w:r>
      <w:r w:rsidRPr="0090084E">
        <w:rPr>
          <w:rStyle w:val="a3"/>
          <w:sz w:val="28"/>
          <w:szCs w:val="28"/>
        </w:rPr>
        <w:t>порядок получения гражданами пенсий (пособий)</w:t>
      </w:r>
      <w:r>
        <w:rPr>
          <w:rStyle w:val="a3"/>
          <w:sz w:val="28"/>
          <w:szCs w:val="28"/>
        </w:rPr>
        <w:t xml:space="preserve"> </w:t>
      </w:r>
      <w:r w:rsidRPr="00F228E5">
        <w:rPr>
          <w:rStyle w:val="a3"/>
          <w:b w:val="0"/>
          <w:sz w:val="28"/>
          <w:szCs w:val="28"/>
        </w:rPr>
        <w:t xml:space="preserve">в соответствии </w:t>
      </w:r>
      <w:r>
        <w:rPr>
          <w:rStyle w:val="a3"/>
          <w:sz w:val="28"/>
          <w:szCs w:val="28"/>
        </w:rPr>
        <w:t xml:space="preserve">со </w:t>
      </w:r>
      <w:r w:rsidR="0090084E" w:rsidRPr="0090084E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90084E" w:rsidRPr="0090084E">
        <w:rPr>
          <w:sz w:val="28"/>
          <w:szCs w:val="28"/>
        </w:rPr>
        <w:t xml:space="preserve"> 2 Закона Республики Беларусь от 13 декабря 2023 г. № 318-З «Об изменении законов по вопросам социального обслуживания и социальных выплат»</w:t>
      </w:r>
      <w:r>
        <w:rPr>
          <w:sz w:val="28"/>
          <w:szCs w:val="28"/>
        </w:rPr>
        <w:t>.</w:t>
      </w:r>
      <w:r w:rsidR="0090084E" w:rsidRPr="0090084E">
        <w:rPr>
          <w:sz w:val="28"/>
          <w:szCs w:val="28"/>
        </w:rPr>
        <w:t> </w:t>
      </w:r>
    </w:p>
    <w:p w:rsidR="0090084E" w:rsidRPr="0090084E" w:rsidRDefault="0090084E" w:rsidP="000E0E5E">
      <w:pPr>
        <w:pStyle w:val="has-medium-font-siz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С</w:t>
      </w:r>
      <w:r w:rsidRPr="0090084E">
        <w:rPr>
          <w:rStyle w:val="a3"/>
          <w:sz w:val="28"/>
          <w:szCs w:val="28"/>
        </w:rPr>
        <w:t xml:space="preserve"> 1 июля 2024 г. пенсионерам, не достигшим возраста 70 лет, не являющимися инвалидами I или II группы, получателям пособий выплата пенсий и пособий производиться через банки.</w:t>
      </w:r>
    </w:p>
    <w:p w:rsidR="0090084E" w:rsidRPr="0090084E" w:rsidRDefault="0090084E" w:rsidP="000E0E5E">
      <w:pPr>
        <w:pStyle w:val="has-medium-font-siz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</w:t>
      </w:r>
      <w:r w:rsidRPr="0090084E">
        <w:rPr>
          <w:sz w:val="28"/>
          <w:szCs w:val="28"/>
          <w:u w:val="single"/>
        </w:rPr>
        <w:t>зменения не затрону</w:t>
      </w:r>
      <w:r>
        <w:rPr>
          <w:sz w:val="28"/>
          <w:szCs w:val="28"/>
          <w:u w:val="single"/>
        </w:rPr>
        <w:t>ли</w:t>
      </w:r>
      <w:r w:rsidRPr="0090084E">
        <w:rPr>
          <w:sz w:val="28"/>
          <w:szCs w:val="28"/>
          <w:u w:val="single"/>
        </w:rPr>
        <w:t xml:space="preserve"> граждан, которые живут в сельской местности, пенсионеров, достигших 70 лет и старше, инвалидов I, II группы, получателей пособий из числа родителей-инвалидов 1 и 2 группы, семей, воспитывающих ребенка-инвалида до 18 лет (независимо от места проживания). </w:t>
      </w:r>
      <w:r w:rsidRPr="0090084E">
        <w:rPr>
          <w:sz w:val="28"/>
          <w:szCs w:val="28"/>
        </w:rPr>
        <w:t>Такой категории по-прежнему можно получать пенсию, пособие через почту или банк (по выбору получателя пенсий, пособий).</w:t>
      </w:r>
    </w:p>
    <w:p w:rsidR="0090084E" w:rsidRPr="0090084E" w:rsidRDefault="0090084E" w:rsidP="000E0E5E">
      <w:pPr>
        <w:pStyle w:val="has-medium-font-siz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0084E">
        <w:rPr>
          <w:sz w:val="28"/>
          <w:szCs w:val="28"/>
        </w:rPr>
        <w:t>Для получения более подробной информации необходимо обращаться в управление по труду, занятости и социальной защите Слонимского райисполкома по телефонам 5-02-47, 5-01-87.</w:t>
      </w:r>
    </w:p>
    <w:p w:rsidR="0090084E" w:rsidRPr="000650AD" w:rsidRDefault="0090084E" w:rsidP="0090084E"/>
    <w:p w:rsidR="0090084E" w:rsidRDefault="0090084E" w:rsidP="00C33D7B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26E6E" w:rsidRPr="00607929" w:rsidRDefault="00326E6E" w:rsidP="00326E6E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07929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При совпадении определенных графиком сроков выплаты пенсий (пособий) с выходными днями, государственными праздниками, праздничными днями, установленными и объявленными Президентом Республики Беларусь нерабочими, выплата пенсий (пособий) производится досрочно, но не более чем за два рабочих дня до наступления сроков, предусмотренных настоящим графиком.</w:t>
      </w:r>
    </w:p>
    <w:p w:rsidR="00326E6E" w:rsidRDefault="00326E6E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C33D7B" w:rsidRPr="00607929" w:rsidRDefault="00C33D7B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607929">
        <w:rPr>
          <w:rStyle w:val="a3"/>
          <w:sz w:val="28"/>
          <w:szCs w:val="28"/>
        </w:rPr>
        <w:t xml:space="preserve">График  выплаты пенсий и пособий, назначенных органами по труду, занятости и социальной защите Гродненской области, путем зачисления на счета получателей в </w:t>
      </w:r>
    </w:p>
    <w:p w:rsidR="00C33D7B" w:rsidRPr="00607929" w:rsidRDefault="00C33D7B" w:rsidP="00C33D7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501048">
        <w:rPr>
          <w:rStyle w:val="a5"/>
          <w:b/>
          <w:bCs/>
          <w:sz w:val="28"/>
          <w:szCs w:val="28"/>
          <w:u w:val="single"/>
        </w:rPr>
        <w:t>ОАО «АСБ Беларусбанк», ОАО «Белагропромбанк», ОАО «Сбер Банк», “Приорбанк” ОАО,  ОАО “Белинвестбанк”</w:t>
      </w:r>
      <w:r w:rsidRPr="00607929">
        <w:rPr>
          <w:b/>
          <w:bCs/>
          <w:sz w:val="28"/>
          <w:szCs w:val="28"/>
          <w:u w:val="single"/>
        </w:rPr>
        <w:br/>
      </w:r>
      <w:r w:rsidRPr="00607929">
        <w:rPr>
          <w:rStyle w:val="a3"/>
          <w:sz w:val="28"/>
          <w:szCs w:val="28"/>
        </w:rPr>
        <w:t>в 2024 году.</w:t>
      </w:r>
    </w:p>
    <w:p w:rsidR="00C33D7B" w:rsidRPr="00607929" w:rsidRDefault="00C33D7B" w:rsidP="00C33D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701"/>
        <w:gridCol w:w="1843"/>
        <w:gridCol w:w="1984"/>
        <w:gridCol w:w="2127"/>
      </w:tblGrid>
      <w:tr w:rsidR="005525DB" w:rsidRPr="00607929" w:rsidTr="005525DB">
        <w:trPr>
          <w:trHeight w:val="556"/>
        </w:trPr>
        <w:tc>
          <w:tcPr>
            <w:tcW w:w="1843" w:type="dxa"/>
            <w:vMerge w:val="restart"/>
            <w:vAlign w:val="center"/>
          </w:tcPr>
          <w:p w:rsidR="005525DB" w:rsidRPr="00607929" w:rsidRDefault="005525DB" w:rsidP="00943B09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Календарный</w:t>
            </w:r>
          </w:p>
          <w:p w:rsidR="005525DB" w:rsidRPr="00607929" w:rsidRDefault="005525DB" w:rsidP="00943B09">
            <w:pPr>
              <w:spacing w:line="280" w:lineRule="exact"/>
              <w:ind w:right="-1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5525DB" w:rsidRPr="00607929" w:rsidRDefault="005525DB" w:rsidP="00943B09">
            <w:pPr>
              <w:spacing w:line="28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25DB" w:rsidRPr="00607929" w:rsidRDefault="005525DB" w:rsidP="00943B09">
            <w:pPr>
              <w:spacing w:line="28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1-ая декада месяца</w:t>
            </w:r>
          </w:p>
        </w:tc>
        <w:tc>
          <w:tcPr>
            <w:tcW w:w="1984" w:type="dxa"/>
          </w:tcPr>
          <w:p w:rsidR="005525DB" w:rsidRPr="00607929" w:rsidRDefault="005525DB" w:rsidP="00943B09">
            <w:pPr>
              <w:spacing w:line="28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2-ая декада месяца</w:t>
            </w:r>
          </w:p>
        </w:tc>
        <w:tc>
          <w:tcPr>
            <w:tcW w:w="2127" w:type="dxa"/>
          </w:tcPr>
          <w:p w:rsidR="005525DB" w:rsidRPr="00607929" w:rsidRDefault="005525DB" w:rsidP="00943B09">
            <w:pPr>
              <w:spacing w:line="28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3-ая декада</w:t>
            </w:r>
          </w:p>
          <w:p w:rsidR="005525DB" w:rsidRPr="00607929" w:rsidRDefault="005525DB" w:rsidP="00943B09">
            <w:pPr>
              <w:spacing w:line="28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5525DB" w:rsidRPr="00607929" w:rsidTr="005525DB">
        <w:trPr>
          <w:cantSplit/>
          <w:trHeight w:val="722"/>
        </w:trPr>
        <w:tc>
          <w:tcPr>
            <w:tcW w:w="1843" w:type="dxa"/>
            <w:vMerge/>
          </w:tcPr>
          <w:p w:rsidR="005525DB" w:rsidRPr="00607929" w:rsidRDefault="005525DB" w:rsidP="00943B09">
            <w:pPr>
              <w:spacing w:line="280" w:lineRule="exact"/>
              <w:ind w:right="-1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25DB" w:rsidRPr="00607929" w:rsidRDefault="005525DB" w:rsidP="00943B09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выплаты</w:t>
            </w:r>
          </w:p>
        </w:tc>
        <w:tc>
          <w:tcPr>
            <w:tcW w:w="1843" w:type="dxa"/>
            <w:vAlign w:val="center"/>
          </w:tcPr>
          <w:p w:rsidR="005525DB" w:rsidRPr="00607929" w:rsidRDefault="005525DB" w:rsidP="00943B09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Дата выплаты</w:t>
            </w:r>
          </w:p>
        </w:tc>
        <w:tc>
          <w:tcPr>
            <w:tcW w:w="1984" w:type="dxa"/>
            <w:vAlign w:val="center"/>
          </w:tcPr>
          <w:p w:rsidR="005525DB" w:rsidRPr="00607929" w:rsidRDefault="005525DB" w:rsidP="00943B09">
            <w:pPr>
              <w:spacing w:line="280" w:lineRule="exac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Дата выплаты</w:t>
            </w:r>
          </w:p>
        </w:tc>
        <w:tc>
          <w:tcPr>
            <w:tcW w:w="2127" w:type="dxa"/>
            <w:vAlign w:val="center"/>
          </w:tcPr>
          <w:p w:rsidR="005525DB" w:rsidRPr="00607929" w:rsidRDefault="005525DB" w:rsidP="00943B09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Дата выплаты</w:t>
            </w:r>
          </w:p>
        </w:tc>
      </w:tr>
      <w:tr w:rsidR="005525DB" w:rsidRPr="00607929" w:rsidTr="005525DB">
        <w:trPr>
          <w:trHeight w:val="167"/>
          <w:tblHeader/>
        </w:trPr>
        <w:tc>
          <w:tcPr>
            <w:tcW w:w="1843" w:type="dxa"/>
          </w:tcPr>
          <w:p w:rsidR="005525DB" w:rsidRPr="00607929" w:rsidRDefault="005525DB" w:rsidP="00943B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25DB" w:rsidRPr="00607929" w:rsidTr="005525DB">
        <w:trPr>
          <w:trHeight w:val="393"/>
        </w:trPr>
        <w:tc>
          <w:tcPr>
            <w:tcW w:w="1843" w:type="dxa"/>
          </w:tcPr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525DB" w:rsidRPr="00607929" w:rsidRDefault="005525DB" w:rsidP="00943B09">
            <w:pPr>
              <w:tabs>
                <w:tab w:val="left" w:pos="175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525DB" w:rsidRPr="00607929" w:rsidRDefault="005525DB" w:rsidP="0094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127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C33D7B" w:rsidRPr="00607929" w:rsidRDefault="00C33D7B" w:rsidP="00C33D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D7B" w:rsidRDefault="00C33D7B" w:rsidP="00C3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D7B" w:rsidRDefault="00C33D7B" w:rsidP="00C3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D7B" w:rsidRDefault="00C33D7B" w:rsidP="00C3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5DB" w:rsidRDefault="005525DB" w:rsidP="00C3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5DB" w:rsidRDefault="005525DB" w:rsidP="00C3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D7B" w:rsidRDefault="00C33D7B" w:rsidP="00C3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D7B" w:rsidRPr="00607929" w:rsidRDefault="00C33D7B" w:rsidP="00C33D7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7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  выплаты пенсий и пособий, назначенных органами по труду, занятости и социальной защите Гродненской области, путем зачисления на счета получателей в</w:t>
      </w:r>
      <w:r w:rsidRPr="00607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33D7B" w:rsidRPr="00607929" w:rsidRDefault="00C33D7B" w:rsidP="00C33D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0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ЗАО «Минский транзитный банк»,  ОАО «Банк Дабрабыт», ОАО «Белгазпромбанк», ОАО «Белвнешэкономбанк»</w:t>
      </w:r>
      <w:r w:rsidR="005525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607929"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7929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tbl>
      <w:tblPr>
        <w:tblW w:w="847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6"/>
        <w:gridCol w:w="2765"/>
        <w:gridCol w:w="3149"/>
      </w:tblGrid>
      <w:tr w:rsidR="005525DB" w:rsidRPr="00607929" w:rsidTr="005525DB">
        <w:trPr>
          <w:trHeight w:val="280"/>
        </w:trPr>
        <w:tc>
          <w:tcPr>
            <w:tcW w:w="2556" w:type="dxa"/>
            <w:vMerge w:val="restart"/>
            <w:vAlign w:val="center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Календарный месяц</w:t>
            </w:r>
          </w:p>
        </w:tc>
        <w:tc>
          <w:tcPr>
            <w:tcW w:w="2765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DB" w:rsidRPr="00607929" w:rsidTr="005525DB">
        <w:trPr>
          <w:cantSplit/>
          <w:trHeight w:val="722"/>
        </w:trPr>
        <w:tc>
          <w:tcPr>
            <w:tcW w:w="2556" w:type="dxa"/>
            <w:vMerge/>
          </w:tcPr>
          <w:p w:rsidR="005525DB" w:rsidRPr="00607929" w:rsidRDefault="005525DB" w:rsidP="00943B0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Дата выплаты</w:t>
            </w:r>
          </w:p>
        </w:tc>
      </w:tr>
      <w:tr w:rsidR="005525DB" w:rsidRPr="00607929" w:rsidTr="005525DB">
        <w:trPr>
          <w:trHeight w:val="188"/>
          <w:tblHeader/>
        </w:trPr>
        <w:tc>
          <w:tcPr>
            <w:tcW w:w="2556" w:type="dxa"/>
          </w:tcPr>
          <w:p w:rsidR="005525DB" w:rsidRPr="00607929" w:rsidRDefault="005525DB" w:rsidP="00943B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2765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149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</w:tr>
      <w:tr w:rsidR="005525DB" w:rsidRPr="00607929" w:rsidTr="005525DB">
        <w:trPr>
          <w:trHeight w:val="393"/>
        </w:trPr>
        <w:tc>
          <w:tcPr>
            <w:tcW w:w="2556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525DB" w:rsidRPr="00607929" w:rsidRDefault="005525DB" w:rsidP="00943B09">
            <w:pPr>
              <w:tabs>
                <w:tab w:val="left" w:pos="1756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5" w:type="dxa"/>
          </w:tcPr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94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D2096" w:rsidRDefault="004D2096"/>
    <w:p w:rsidR="005525DB" w:rsidRPr="00607929" w:rsidRDefault="005525DB" w:rsidP="005525D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7929">
        <w:rPr>
          <w:rFonts w:ascii="Times New Roman" w:hAnsi="Times New Roman" w:cs="Times New Roman"/>
          <w:b/>
          <w:bCs/>
          <w:sz w:val="28"/>
          <w:szCs w:val="28"/>
        </w:rPr>
        <w:t>График  выплаты пенсий и пособий, назначенных органами по труду, занятости и социальной защите Гродненской области, путем зачисления на счета получателей в</w:t>
      </w:r>
      <w:r w:rsidRPr="00607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525DB" w:rsidRPr="00607929" w:rsidRDefault="005525DB" w:rsidP="005525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0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ОАО «Паритетбанк», ЗАО «БТА Банк», ЗАО «Банк ВТБ»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607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07929"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7929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tbl>
      <w:tblPr>
        <w:tblW w:w="72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4253"/>
      </w:tblGrid>
      <w:tr w:rsidR="005525DB" w:rsidRPr="00607929" w:rsidTr="003232CB">
        <w:trPr>
          <w:trHeight w:val="280"/>
        </w:trPr>
        <w:tc>
          <w:tcPr>
            <w:tcW w:w="2977" w:type="dxa"/>
            <w:vMerge w:val="restart"/>
            <w:vAlign w:val="center"/>
          </w:tcPr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Календарный месяц</w:t>
            </w:r>
          </w:p>
        </w:tc>
        <w:tc>
          <w:tcPr>
            <w:tcW w:w="4253" w:type="dxa"/>
            <w:vAlign w:val="center"/>
          </w:tcPr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5DB" w:rsidRPr="00607929" w:rsidTr="003232CB">
        <w:trPr>
          <w:cantSplit/>
          <w:trHeight w:val="722"/>
        </w:trPr>
        <w:tc>
          <w:tcPr>
            <w:tcW w:w="2977" w:type="dxa"/>
            <w:vMerge/>
          </w:tcPr>
          <w:p w:rsidR="005525DB" w:rsidRPr="00607929" w:rsidRDefault="005525DB" w:rsidP="003232C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Дата выплаты</w:t>
            </w:r>
          </w:p>
        </w:tc>
      </w:tr>
      <w:tr w:rsidR="005525DB" w:rsidRPr="00607929" w:rsidTr="003232CB">
        <w:trPr>
          <w:trHeight w:val="188"/>
          <w:tblHeader/>
        </w:trPr>
        <w:tc>
          <w:tcPr>
            <w:tcW w:w="2977" w:type="dxa"/>
          </w:tcPr>
          <w:p w:rsidR="005525DB" w:rsidRPr="00607929" w:rsidRDefault="005525DB" w:rsidP="003232C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4253" w:type="dxa"/>
          </w:tcPr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</w:t>
            </w:r>
          </w:p>
        </w:tc>
      </w:tr>
      <w:tr w:rsidR="005525DB" w:rsidRPr="00607929" w:rsidTr="003232CB">
        <w:trPr>
          <w:trHeight w:val="393"/>
        </w:trPr>
        <w:tc>
          <w:tcPr>
            <w:tcW w:w="2977" w:type="dxa"/>
          </w:tcPr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525DB" w:rsidRPr="00607929" w:rsidRDefault="005525DB" w:rsidP="003232CB">
            <w:pPr>
              <w:tabs>
                <w:tab w:val="left" w:pos="1756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525DB" w:rsidRPr="00607929" w:rsidRDefault="005525DB" w:rsidP="0032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5525DB" w:rsidRDefault="005525DB"/>
    <w:sectPr w:rsidR="005525DB" w:rsidSect="005525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3D7B"/>
    <w:rsid w:val="000E0E5E"/>
    <w:rsid w:val="00326E6E"/>
    <w:rsid w:val="003D3201"/>
    <w:rsid w:val="004D2096"/>
    <w:rsid w:val="005525DB"/>
    <w:rsid w:val="0090084E"/>
    <w:rsid w:val="00C33D7B"/>
    <w:rsid w:val="00F2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D7B"/>
    <w:rPr>
      <w:b/>
      <w:bCs/>
    </w:rPr>
  </w:style>
  <w:style w:type="paragraph" w:styleId="a4">
    <w:name w:val="Normal (Web)"/>
    <w:basedOn w:val="a"/>
    <w:uiPriority w:val="99"/>
    <w:unhideWhenUsed/>
    <w:rsid w:val="00C3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3D7B"/>
    <w:rPr>
      <w:i/>
      <w:iCs/>
    </w:rPr>
  </w:style>
  <w:style w:type="paragraph" w:customStyle="1" w:styleId="has-text-align-center">
    <w:name w:val="has-text-align-center"/>
    <w:basedOn w:val="a"/>
    <w:rsid w:val="009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9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2023-12-30T10:04:00Z</dcterms:created>
  <dcterms:modified xsi:type="dcterms:W3CDTF">2024-12-02T09:23:00Z</dcterms:modified>
</cp:coreProperties>
</file>