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Гуманитарный проект государственного учреждения образования «Гимназия № 1 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лонима» ищет спонсоров</w:t>
      </w:r>
    </w:p>
    <w:p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0425" cy="3957237"/>
            <wp:effectExtent l="19050" t="0" r="3175" b="0"/>
            <wp:docPr id="1" name="Рисунок 1" descr="C:\Users\Seven\Desktop\1441271080_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1441271080_konta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Цель проекта: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создание условий для развития интеллектуально-творческого потенциала на основе укрепления семейных связей и расширения возможности общения и объединения детей и взрослых посредством совместной интеллектуальной деятельности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 w:hanging="3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  <w:t>Наименование проекта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>: «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lang w:val="en-US"/>
        </w:rPr>
        <w:t>Family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lang w:val="en-US"/>
        </w:rPr>
        <w:t>club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>− территория счастья»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0"/>
          <w:rFonts w:ascii="Times New Roman" w:hAnsi="Times New Roman" w:cs="Times New Roman"/>
          <w:sz w:val="30"/>
          <w:szCs w:val="30"/>
        </w:rPr>
        <w:t xml:space="preserve">Срок реализации проекта: </w:t>
      </w:r>
      <w:r>
        <w:rPr>
          <w:rStyle w:val="20"/>
          <w:rFonts w:ascii="Times New Roman" w:hAnsi="Times New Roman" w:cs="Times New Roman"/>
          <w:sz w:val="30"/>
          <w:szCs w:val="30"/>
          <w:u w:val="none"/>
        </w:rPr>
        <w:t>18  месяцев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  <w:t>Организация - заявитель, предлагающая проект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«Гимназия № 1 г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лонима» 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  <w:tab w:val="left" w:leader="underscore" w:pos="9094"/>
        </w:tabs>
        <w:spacing w:after="0" w:line="319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  <w:t>Цель проекта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создание условий для развития интеллектуально-творческого потенциала на основе укрепления семейных связей и расширения возможности общения и объединения детей и взрослых посредством совместной интеллектуальной деятельности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5. 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  <w:t>Задачи, планируемые к выполнению в рамках реализации проекта: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создание центра 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lang w:val="en-US"/>
        </w:rPr>
        <w:t>Family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lang w:val="en-US"/>
        </w:rPr>
        <w:t>club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>» (далее – Центр);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обустройство помещения и создание комфортной и дружелюбной среды для интеллектуального отдыха и развлечений детей и взрослых;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 xml:space="preserve">создание благоприятных условий для сближения и позитивного общения взрослых и детей через совместную познавательную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досуговую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деятельность;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формирование навыков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тимбилдинга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умения логически мыслить и </w:t>
      </w:r>
      <w:r>
        <w:rPr>
          <w:rFonts w:ascii="Times New Roman" w:hAnsi="Times New Roman" w:cs="Times New Roman"/>
          <w:sz w:val="30"/>
          <w:szCs w:val="30"/>
        </w:rPr>
        <w:lastRenderedPageBreak/>
        <w:t>принимать правильное решение за ограниченное время;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создание условий для творческого развития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креативного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мышления участников Центра;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популяризация форм интеллектуального досуга через игровую деятельность.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0"/>
          <w:rFonts w:ascii="Times New Roman" w:hAnsi="Times New Roman" w:cs="Times New Roman"/>
          <w:color w:val="000000"/>
          <w:sz w:val="30"/>
          <w:szCs w:val="30"/>
        </w:rPr>
        <w:t xml:space="preserve">6. Целевая группа: </w:t>
      </w:r>
      <w:r>
        <w:rPr>
          <w:rStyle w:val="20"/>
          <w:rFonts w:ascii="Times New Roman" w:hAnsi="Times New Roman" w:cs="Times New Roman"/>
          <w:color w:val="000000"/>
          <w:sz w:val="30"/>
          <w:szCs w:val="30"/>
          <w:u w:val="none"/>
        </w:rPr>
        <w:t>учащиеся гимназии и их родители, взрослые и дети, проживающие в микрорайоне гимназии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Style w:val="2"/>
          <w:rFonts w:ascii="Times New Roman" w:hAnsi="Times New Roman" w:cs="Times New Roman"/>
          <w:color w:val="000000"/>
          <w:sz w:val="30"/>
          <w:szCs w:val="30"/>
        </w:rPr>
        <w:t xml:space="preserve">7. </w:t>
      </w:r>
      <w:r>
        <w:rPr>
          <w:rStyle w:val="2"/>
          <w:rFonts w:ascii="Times New Roman" w:hAnsi="Times New Roman" w:cs="Times New Roman"/>
          <w:color w:val="000000"/>
          <w:sz w:val="30"/>
          <w:szCs w:val="30"/>
          <w:u w:val="single"/>
        </w:rPr>
        <w:t>Краткое описание мероприятий в рамках проекта: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обустройство помещения, которое включает несколько зон: зона для занятий интеллектуальной и творческой деятельностью и зона релаксации (здесь целесообразно расположить кухню, где можно было бы разогреть себе еду, попить чай); 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организация и проведение турниров по различным интеллектуальным играм, мастер-классов, масштабных событий, тематических мероприятий культурного и научно-просветительского характера;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разработка и популяризация интеллектуальных игр;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распространение новостей о деятельности Центра на сайте учреждения, в СМИ и социальных сетях;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осуществление взаимодействия с другими сообществами и учреждениями, действующими в аналогичных интересах в городе.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8. </w:t>
            </w:r>
            <w:proofErr w:type="gramStart"/>
            <w:r>
              <w:rPr>
                <w:rStyle w:val="22"/>
                <w:rFonts w:ascii="Times New Roman" w:hAnsi="Times New Roman" w:cs="Times New Roman"/>
                <w:sz w:val="30"/>
                <w:szCs w:val="30"/>
                <w:u w:val="single"/>
              </w:rPr>
              <w:t>Общий объем финансирования (в долларах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Style w:val="22"/>
                <w:rFonts w:ascii="Times New Roman" w:hAnsi="Times New Roman" w:cs="Times New Roman"/>
                <w:sz w:val="30"/>
                <w:szCs w:val="30"/>
                <w:u w:val="single"/>
              </w:rPr>
              <w:t>США</w:t>
            </w: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): 23 000</w:t>
            </w:r>
            <w:proofErr w:type="gramEnd"/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Объем финансирования (в долларах США)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21 500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9. 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>Место реализации проекта (область/район, город)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: Гродненская область, Слонимский район,  город Слоним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10. 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>Контактное лицо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firstLine="0"/>
              <w:jc w:val="left"/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Денис Викторович 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Криштопчик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директор гимназии,+375292688855 (МТС), 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denik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krishtop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@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ru</w:t>
            </w:r>
            <w:proofErr w:type="spellEnd"/>
          </w:p>
          <w:p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Будем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рады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сотрудничеству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!</w:t>
      </w: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State educational institution Gymnasium №1 in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Slonim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seeks  sponsors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 its humanitarian project</w:t>
      </w:r>
    </w:p>
    <w:p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57237"/>
            <wp:effectExtent l="19050" t="0" r="3175" b="0"/>
            <wp:docPr id="2" name="Рисунок 1" descr="C:\Users\Seven\Desktop\1441271080_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1441271080_konta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Goal of the project: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en-US"/>
        </w:rPr>
        <w:t xml:space="preserve">creation of conditions for promotion of intellectual and creative potential by strengthening family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relationship  and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 enhancing the opportunity for communication and interaction of children and adults by means of joint intellectual activities.</w:t>
      </w:r>
    </w:p>
    <w:tbl>
      <w:tblPr>
        <w:tblStyle w:val="a7"/>
        <w:tblW w:w="0" w:type="auto"/>
        <w:tblLook w:val="04A0"/>
      </w:tblPr>
      <w:tblGrid>
        <w:gridCol w:w="4440"/>
        <w:gridCol w:w="5131"/>
      </w:tblGrid>
      <w:tr>
        <w:tc>
          <w:tcPr>
            <w:tcW w:w="9571" w:type="dxa"/>
            <w:gridSpan w:val="2"/>
          </w:tcPr>
          <w:p>
            <w:pPr>
              <w:ind w:left="360" w:hanging="36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Title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 of the project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« Family club- the territory of happiness</w:t>
            </w:r>
            <w:r>
              <w:rPr>
                <w:rStyle w:val="2"/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Project duration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18 months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Applicant organization: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Gymnasium №1 of the city of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Slonim</w:t>
            </w:r>
            <w:proofErr w:type="spellEnd"/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Aim of the project: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creation of conditions for development of intellectual and creative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potentialby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strengthening family relationship and enhancing the opportunity for communication and interaction of children and adults by means of joint intellectual activities.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Targets planned under the project:</w:t>
            </w:r>
          </w:p>
          <w:p>
            <w:pPr>
              <w:pStyle w:val="a6"/>
              <w:ind w:left="142" w:firstLine="142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Development of facilities and creation of comfortable and friendly environment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forintellectual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leisure activities both for children and adults.</w:t>
            </w:r>
          </w:p>
          <w:p>
            <w:pPr>
              <w:pStyle w:val="a6"/>
              <w:ind w:left="142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 Creation of favorable conditions for meeting and positive communication of children and adults through joint intellectual and leisure activities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-  Development of team-building skills, logical thinking and decision-making capacity in a limited amount of time</w:t>
            </w:r>
          </w:p>
          <w:p>
            <w:pPr>
              <w:pStyle w:val="a6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Creation of conditions for development of creative thinking in participants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of the Centre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-  Promotion of intellectual recreational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activitiesusing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gaming activities</w:t>
            </w:r>
          </w:p>
          <w:p>
            <w:pPr>
              <w:pStyle w:val="a6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Target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:school students, parents, children and parents residing in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7. Description of activities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with 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 xml:space="preserve"> the framework of  the project:</w:t>
            </w:r>
          </w:p>
          <w:p>
            <w:pPr>
              <w:ind w:firstLine="284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Development of facilities which include several areas: the area for intellectual and creative activities and the area for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relaxation(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it fits for kitchen area where people can warm up a meal or drink tea). </w:t>
            </w:r>
          </w:p>
          <w:p>
            <w:pPr>
              <w:pStyle w:val="a6"/>
              <w:ind w:left="0" w:firstLine="284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Organization of intellectual games, master classes, large-scale events, thematic activities of cultural and educational character.</w:t>
            </w:r>
          </w:p>
          <w:p>
            <w:pPr>
              <w:pStyle w:val="a6"/>
              <w:ind w:hanging="43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Development and promotion of intellectual games</w:t>
            </w:r>
          </w:p>
          <w:p>
            <w:pPr>
              <w:pStyle w:val="a6"/>
              <w:ind w:left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- Dissemination of news and Centre activities on the website of Gymnasium, in local media and in social networks.</w:t>
            </w:r>
          </w:p>
          <w:p>
            <w:pPr>
              <w:pStyle w:val="a6"/>
              <w:ind w:hanging="43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 Interaction with other communities and institutions promoting the same ideas in the city.</w:t>
            </w:r>
          </w:p>
          <w:p>
            <w:pPr>
              <w:ind w:left="360" w:hanging="36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>
        <w:tc>
          <w:tcPr>
            <w:tcW w:w="9571" w:type="dxa"/>
            <w:gridSpan w:val="2"/>
          </w:tcPr>
          <w:p>
            <w:pPr>
              <w:tabs>
                <w:tab w:val="center" w:pos="4677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lastRenderedPageBreak/>
              <w:t>8.Total funding ( in USA dollars):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ab/>
              <w:t xml:space="preserve">                       23 000</w:t>
            </w:r>
          </w:p>
        </w:tc>
      </w:tr>
      <w:tr>
        <w:tc>
          <w:tcPr>
            <w:tcW w:w="4440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Source of funding                                                  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Size of financing( in USA dollars)</w:t>
            </w:r>
          </w:p>
        </w:tc>
      </w:tr>
      <w:tr>
        <w:tc>
          <w:tcPr>
            <w:tcW w:w="4440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Donor funds                              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21 500</w:t>
            </w:r>
          </w:p>
        </w:tc>
      </w:tr>
      <w:tr>
        <w:tc>
          <w:tcPr>
            <w:tcW w:w="4440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Co-financing  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1 500</w:t>
            </w:r>
          </w:p>
        </w:tc>
      </w:tr>
      <w:tr>
        <w:tc>
          <w:tcPr>
            <w:tcW w:w="9571" w:type="dxa"/>
            <w:gridSpan w:val="2"/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9. Location of the project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region,city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):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Grodno region,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 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Slonim</w:t>
            </w:r>
            <w:proofErr w:type="spellEnd"/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>
        <w:tc>
          <w:tcPr>
            <w:tcW w:w="9571" w:type="dxa"/>
            <w:gridSpan w:val="2"/>
          </w:tcPr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10. Contact person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Denis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Viktorovich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Krishtopchik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gymnasium headmaster</w:t>
            </w:r>
          </w:p>
          <w:p>
            <w:pPr>
              <w:pStyle w:val="a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tel.,+375292688855, e-mail: denik_krishtop@mail.ru</w:t>
            </w:r>
          </w:p>
          <w:p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a6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We are looking forward to working with you!</w:t>
      </w:r>
    </w:p>
    <w:p>
      <w:pPr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rPr>
          <w:color w:val="000000"/>
          <w:sz w:val="28"/>
          <w:szCs w:val="28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4974869"/>
    <w:multiLevelType w:val="hybridMultilevel"/>
    <w:tmpl w:val="1B40D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FA497"/>
      <w:u w:val="single"/>
    </w:rPr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  <w:style w:type="character" w:customStyle="1" w:styleId="c12">
    <w:name w:val="c12"/>
    <w:basedOn w:val="a0"/>
  </w:style>
  <w:style w:type="character" w:customStyle="1" w:styleId="c37">
    <w:name w:val="c37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D39E-02BD-4075-88A4-AAFE815E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16</cp:revision>
  <cp:lastPrinted>2020-04-25T07:49:00Z</cp:lastPrinted>
  <dcterms:created xsi:type="dcterms:W3CDTF">2020-04-25T04:51:00Z</dcterms:created>
  <dcterms:modified xsi:type="dcterms:W3CDTF">2020-05-05T13:41:00Z</dcterms:modified>
</cp:coreProperties>
</file>